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"/>
        <w:jc w:val="right"/>
        <w:keepNext/>
        <w:spacing w:before="120" w:after="0"/>
        <w:shd w:val="clear" w:color="auto" w:fill="ffffff"/>
        <w:tabs>
          <w:tab w:val="center" w:pos="7568" w:leader="none"/>
          <w:tab w:val="left" w:pos="12960" w:leader="none"/>
        </w:tabs>
        <w:rPr>
          <w:rFonts w:ascii="Times New Roman" w:hAnsi="Times New Roman" w:eastAsia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sz w:val="28"/>
          <w:szCs w:val="28"/>
          <w:lang w:val="ru-RU" w:eastAsia="ru-RU"/>
        </w:rPr>
        <w:t xml:space="preserve">Приложение №</w:t>
      </w:r>
      <w:r>
        <w:rPr>
          <w:rFonts w:ascii="Times New Roman" w:hAnsi="Times New Roman" w:eastAsia="Times New Roman"/>
          <w:sz w:val="28"/>
          <w:szCs w:val="28"/>
          <w:lang w:val="ru-RU"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val="ru-RU" w:eastAsia="ru-RU"/>
        </w:rPr>
      </w:r>
      <w:r>
        <w:rPr>
          <w:rFonts w:ascii="Times New Roman" w:hAnsi="Times New Roman" w:eastAsia="Times New Roman"/>
          <w:sz w:val="28"/>
          <w:szCs w:val="28"/>
          <w:lang w:val="ru-RU" w:eastAsia="ru-RU"/>
        </w:rPr>
      </w:r>
    </w:p>
    <w:p>
      <w:pPr>
        <w:jc w:val="center"/>
        <w:keepNext/>
        <w:spacing w:after="0"/>
        <w:shd w:val="clear" w:color="auto" w:fill="ffffff"/>
        <w:tabs>
          <w:tab w:val="center" w:pos="7568" w:leader="none"/>
          <w:tab w:val="left" w:pos="12960" w:leader="none"/>
        </w:tabs>
        <w:rPr>
          <w:rFonts w:ascii="Times New Roman" w:hAnsi="Times New Roman" w:eastAsia="Times New Roman"/>
          <w:b/>
          <w:caps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Описание товара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(опросный лист)</w:t>
      </w:r>
      <w:r>
        <w:rPr>
          <w:rFonts w:ascii="Times New Roman" w:hAnsi="Times New Roman" w:eastAsia="Times New Roman"/>
          <w:b/>
          <w:caps/>
          <w:sz w:val="28"/>
          <w:szCs w:val="28"/>
          <w:lang w:val="ru-RU" w:eastAsia="ru-RU"/>
        </w:rPr>
      </w:r>
      <w:r>
        <w:rPr>
          <w:rFonts w:ascii="Times New Roman" w:hAnsi="Times New Roman" w:eastAsia="Times New Roman"/>
          <w:b/>
          <w:caps/>
          <w:sz w:val="28"/>
          <w:szCs w:val="28"/>
          <w:lang w:val="ru-RU" w:eastAsia="ru-RU"/>
        </w:rPr>
      </w:r>
    </w:p>
    <w:p>
      <w:pPr>
        <w:jc w:val="center"/>
        <w:keepNext/>
        <w:spacing w:after="0"/>
        <w:shd w:val="clear" w:color="auto" w:fill="ffffff"/>
        <w:rPr>
          <w:rFonts w:ascii="Times New Roman" w:hAnsi="Times New Roman" w:eastAsia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на поставку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к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омплекта 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Testo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340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SO</w:t>
      </w:r>
      <w:r>
        <w:rPr>
          <w:rFonts w:ascii="Times New Roman" w:hAnsi="Times New Roman" w:eastAsia="Times New Roman"/>
          <w:b/>
          <w:sz w:val="28"/>
          <w:szCs w:val="28"/>
          <w:vertAlign w:val="subscript"/>
          <w:lang w:val="ru-RU" w:eastAsia="ru-RU"/>
        </w:rPr>
        <w:t xml:space="preserve">2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– 4-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х сенсорный комплект без зонда» и модульн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ого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зонд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а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отбора пробы длиной 335 мм, и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измеряемой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 температурой до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+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1000 °С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.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</w:r>
    </w:p>
    <w:p>
      <w:pPr>
        <w:numPr>
          <w:ilvl w:val="0"/>
          <w:numId w:val="1"/>
        </w:numPr>
        <w:ind w:left="0" w:firstLine="0"/>
        <w:jc w:val="both"/>
        <w:keepNext/>
        <w:spacing w:before="120" w:after="0"/>
        <w:shd w:val="clear" w:color="auto" w:fill="ffffff"/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pPr>
      <w:r/>
      <w:bookmarkStart w:id="0" w:name="_Hlk146723797"/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Технические характеристики 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комплекта «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Testo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340 SO2 – 4-х сенсорный комплект без зонда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»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: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  </w:t>
      </w:r>
      <w:bookmarkEnd w:id="0"/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"/>
        <w:gridCol w:w="2649"/>
        <w:gridCol w:w="4739"/>
        <w:gridCol w:w="1489"/>
      </w:tblGrid>
      <w:tr>
        <w:tblPrEx/>
        <w:trPr>
          <w:trHeight w:val="325"/>
        </w:trPr>
        <w:tc>
          <w:tcPr>
            <w:shd w:val="clear" w:color="auto" w:fill="f2f2f2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Характеристики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39"/>
              <w:ind w:left="22" w:right="26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8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Предложение участника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Общие характеристики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40"/>
              <w:jc w:val="both"/>
            </w:pPr>
            <w:r>
              <w:rPr>
                <w:b/>
              </w:rPr>
              <w:t xml:space="preserve">Входящие опции: </w:t>
            </w:r>
            <w:r>
              <w:t xml:space="preserve">опция измерения                          СО (0 </w:t>
            </w:r>
            <w:r>
              <w:t xml:space="preserve">– </w:t>
            </w:r>
            <w:r>
              <w:t xml:space="preserve">10000 </w:t>
            </w:r>
            <w:r>
              <w:rPr>
                <w:lang w:val="en-US"/>
              </w:rPr>
              <w:t xml:space="preserve">ppm</w:t>
            </w:r>
            <w:r>
              <w:t xml:space="preserve">), опция измерения                                          </w:t>
            </w:r>
            <w:r>
              <w:rPr>
                <w:lang w:val="en-US"/>
              </w:rPr>
              <w:t xml:space="preserve">NO</w:t>
            </w:r>
            <w:r>
              <w:t xml:space="preserve"> (0 – 3000 </w:t>
            </w:r>
            <w:r>
              <w:rPr>
                <w:lang w:val="en-US"/>
              </w:rPr>
              <w:t xml:space="preserve">ppm</w:t>
            </w:r>
            <w:r>
              <w:t xml:space="preserve">), опция измерения                            </w:t>
            </w:r>
            <w:r>
              <w:rPr>
                <w:lang w:val="en-US"/>
              </w:rPr>
              <w:t xml:space="preserve">SO</w:t>
            </w:r>
            <w:r>
              <w:rPr>
                <w:vertAlign w:val="subscript"/>
              </w:rPr>
              <w:t xml:space="preserve">2</w:t>
            </w:r>
            <w:r>
              <w:t xml:space="preserve"> (0 – 5000 </w:t>
            </w:r>
            <w:r>
              <w:rPr>
                <w:lang w:val="en-US"/>
              </w:rPr>
              <w:t xml:space="preserve">ppm</w:t>
            </w:r>
            <w:r>
              <w:t xml:space="preserve">), </w:t>
            </w:r>
            <w:r>
              <w:t xml:space="preserve">опция измерения дифференциального и абсолютного давления, опция измерения температуры, функция параллельного измерения скорости потока газа/ дифференциального давления, </w:t>
            </w:r>
            <w:r>
              <w:rPr>
                <w:lang w:val="en-US"/>
              </w:rPr>
              <w:t xml:space="preserve">BLUETOOTH</w:t>
            </w:r>
            <w:r>
              <w:t xml:space="preserve">, транспортировочный кейс, блок питания</w:t>
            </w:r>
            <w:r>
              <w:t xml:space="preserve">,</w:t>
            </w:r>
            <w:r>
              <w:t xml:space="preserve"> ПО </w:t>
            </w:r>
            <w:r>
              <w:t xml:space="preserve">EasyEmission</w:t>
            </w:r>
            <w:r>
              <w:t xml:space="preserve">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Материал корпуса:</w:t>
            </w:r>
            <w:r>
              <w:t xml:space="preserve"> </w:t>
            </w:r>
            <w:r>
              <w:rPr>
                <w:lang w:val="en-US"/>
              </w:rPr>
              <w:t xml:space="preserve">TPE</w:t>
            </w:r>
            <w:r>
              <w:t xml:space="preserve"> поликарбонат;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Подключаемые зонды:</w:t>
            </w:r>
            <w:r>
              <w:t xml:space="preserve"> 1 зонд отбора пробы, 1 зонд температуры, 1 зонд дифференциального давления;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Пользовательские виды топлива: </w:t>
            </w:r>
            <w:r>
              <w:t xml:space="preserve">10 видов топлива, вкл. поверочный газ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Объемный расход насоса: </w:t>
            </w:r>
            <w:r>
              <w:t xml:space="preserve">0,6 л/мин (регулируемый)</w:t>
            </w:r>
            <w:r/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40"/>
              <w:jc w:val="both"/>
              <w:rPr>
                <w:rFonts w:eastAsia="Cambria"/>
                <w:color w:val="auto"/>
              </w:rPr>
            </w:pPr>
            <w:r>
              <w:rPr>
                <w:rFonts w:eastAsia="Cambria"/>
                <w:color w:val="auto"/>
              </w:rPr>
              <w:t xml:space="preserve">Точность измерений</w:t>
            </w:r>
            <w:r>
              <w:rPr>
                <w:rFonts w:eastAsia="Cambria"/>
                <w:color w:val="auto"/>
              </w:rPr>
            </w:r>
            <w:r>
              <w:rPr>
                <w:rFonts w:eastAsia="Cambria"/>
                <w:color w:val="auto"/>
              </w:rPr>
            </w:r>
          </w:p>
          <w:p>
            <w:pPr>
              <w:pStyle w:val="839"/>
              <w:rPr>
                <w:rFonts w:ascii="Times New Roman" w:hAnsi="Times New Roman" w:eastAsia="Cambria" w:cs="Times New Roman"/>
                <w:sz w:val="24"/>
                <w:szCs w:val="24"/>
              </w:rPr>
            </w:pPr>
            <w:r>
              <w:rPr>
                <w:rFonts w:ascii="Times New Roman" w:hAnsi="Times New Roman" w:eastAsia="Cambria" w:cs="Times New Roman"/>
                <w:sz w:val="24"/>
                <w:szCs w:val="24"/>
              </w:rPr>
            </w:r>
            <w:r>
              <w:rPr>
                <w:rFonts w:ascii="Times New Roman" w:hAnsi="Times New Roman" w:eastAsia="Cambria" w:cs="Times New Roman"/>
                <w:sz w:val="24"/>
                <w:szCs w:val="24"/>
              </w:rPr>
            </w:r>
            <w:r>
              <w:rPr>
                <w:rFonts w:ascii="Times New Roman" w:hAnsi="Times New Roman" w:eastAsia="Cambria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0…25 % Об.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0,2 % Об.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0,01 % Об.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СО (с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компенсацией):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0…1000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± 10 % от изм. знач.               (0 ... 200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± 5 % от изм. знач. (201 ... 2000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10 % от изм. знач. (2001 ... 10000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NO: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0…4000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(0 ... 99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5 % от изм. знач.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10 % от изм. знач. (200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0…5000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(0 ... 99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10 % от изм. знач. (в ост. диапазоне).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Расчет CO2 (через О2):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0,2 % Об.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0,1 % Об.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температуры: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-40…+1200 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0,5 °С (0 ... +99 °С).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0,5 % от изм. знач. (в ост. диапазоне).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0,1 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дифференциального давления: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-40…+40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...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,5 % от изм. знач. (в ост. диапазоне).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Пьезорезистивный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сенсор дифференциального давления: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-200…+200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0,5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(-49,9 ... +49,9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± 1,5 % от изм. знач. (в ост. диапазоне).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абсолютного давления: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+600…+1150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Погрешность: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КПД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0…120 %.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0,1 %.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потери тепла с дымовыми газами: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Диапазон измерений: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0…99,9 %.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0,1 %.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40"/>
              <w:rPr>
                <w:rFonts w:eastAsia="Cambria"/>
                <w:color w:val="auto"/>
              </w:rPr>
            </w:pPr>
            <w:r>
              <w:rPr>
                <w:rFonts w:eastAsia="Cambria"/>
                <w:color w:val="auto"/>
              </w:rPr>
              <w:t xml:space="preserve">Интерфейс</w:t>
            </w:r>
            <w:r>
              <w:rPr>
                <w:rFonts w:eastAsia="Cambria"/>
                <w:color w:val="auto"/>
              </w:rPr>
            </w:r>
            <w:r>
              <w:rPr>
                <w:rFonts w:eastAsia="Cambria"/>
                <w:color w:val="auto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en-US" w:eastAsia="en-US"/>
              </w:rPr>
              <w:t xml:space="preserve">Bluetooth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en-US" w:eastAsia="en-US"/>
              </w:rPr>
              <w:t xml:space="preserve">USB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ИК-интерфейс;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Отвод газа;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Подключение к сети;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ход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 датчика/входы датчика;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Измерение 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дифф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. давления.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40"/>
              <w:ind w:right="143"/>
            </w:pPr>
            <w:r>
              <w:t xml:space="preserve">Панель управления и индикация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Дисплей:</w:t>
            </w:r>
            <w:r>
              <w:rPr>
                <w:rFonts w:ascii="Times New Roman" w:hAnsi="Times New Roman"/>
                <w:lang w:val="ru-RU"/>
              </w:rPr>
              <w:t xml:space="preserve"> монохромный с 4 градациями серого 160х240 пикселей;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  <w:p>
            <w:pPr>
              <w:spacing w:after="0"/>
              <w:widowControl w:val="off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Кнопка Вкл./</w:t>
            </w:r>
            <w:r>
              <w:rPr>
                <w:rFonts w:ascii="Times New Roman" w:hAnsi="Times New Roman"/>
                <w:b/>
                <w:lang w:val="ru-RU"/>
              </w:rPr>
              <w:t xml:space="preserve">Выкл</w:t>
            </w:r>
            <w:r>
              <w:rPr>
                <w:rFonts w:ascii="Times New Roman" w:hAnsi="Times New Roman"/>
                <w:b/>
                <w:lang w:val="ru-RU"/>
              </w:rPr>
              <w:t xml:space="preserve">;</w:t>
            </w:r>
            <w:r>
              <w:rPr>
                <w:rFonts w:ascii="Times New Roman" w:hAnsi="Times New Roman"/>
                <w:b/>
                <w:lang w:val="ru-RU"/>
              </w:rPr>
            </w:r>
            <w:r>
              <w:rPr>
                <w:rFonts w:ascii="Times New Roman" w:hAnsi="Times New Roman"/>
                <w:b/>
                <w:lang w:val="ru-RU"/>
              </w:rPr>
            </w:r>
          </w:p>
          <w:p>
            <w:pPr>
              <w:spacing w:after="0"/>
              <w:widowControl w:val="off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Клавиатура;</w:t>
            </w:r>
            <w:r>
              <w:rPr>
                <w:rFonts w:ascii="Times New Roman" w:hAnsi="Times New Roman"/>
                <w:b/>
                <w:lang w:val="ru-RU"/>
              </w:rPr>
            </w:r>
            <w:r>
              <w:rPr>
                <w:rFonts w:ascii="Times New Roman" w:hAnsi="Times New Roman"/>
                <w:b/>
                <w:lang w:val="ru-RU"/>
              </w:rPr>
            </w:r>
          </w:p>
          <w:p>
            <w:pPr>
              <w:spacing w:after="0"/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Время обнуления и индикации: </w:t>
            </w:r>
            <w:r>
              <w:rPr>
                <w:rFonts w:ascii="Times New Roman" w:hAnsi="Times New Roman"/>
                <w:lang w:val="ru-RU"/>
              </w:rPr>
              <w:t xml:space="preserve">30 сек.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eastAsiaTheme="minorHAnsi"/>
                <w:color w:val="000000"/>
                <w:lang w:val="ru-RU"/>
              </w:rPr>
              <w:t xml:space="preserve">Аппаратные характеристики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40"/>
              <w:jc w:val="both"/>
            </w:pPr>
            <w:r>
              <w:rPr>
                <w:b/>
              </w:rPr>
              <w:t xml:space="preserve">Габаритные размеры</w:t>
            </w:r>
            <w:r>
              <w:t xml:space="preserve"> </w:t>
            </w:r>
            <w:r>
              <w:rPr>
                <w:b/>
              </w:rPr>
              <w:t xml:space="preserve">(</w:t>
            </w:r>
            <w:r>
              <w:rPr>
                <w:b/>
              </w:rPr>
              <w:t xml:space="preserve">Д х Ш х </w:t>
            </w:r>
            <w:r>
              <w:rPr>
                <w:b/>
              </w:rPr>
              <w:t xml:space="preserve">В)</w:t>
            </w:r>
            <w:r>
              <w:t xml:space="preserve">: </w:t>
            </w:r>
            <w:r>
              <w:t xml:space="preserve">283 х 103 х 65</w:t>
            </w:r>
            <w:r>
              <w:t xml:space="preserve"> </w:t>
            </w:r>
            <w:r>
              <w:t xml:space="preserve">м</w:t>
            </w:r>
            <w:r>
              <w:t xml:space="preserve">м</w:t>
            </w:r>
            <w:r>
              <w:t xml:space="preserve">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Масса</w:t>
            </w:r>
            <w:r>
              <w:t xml:space="preserve">: </w:t>
            </w:r>
            <w:r>
              <w:t xml:space="preserve">960 </w:t>
            </w:r>
            <w:r>
              <w:t xml:space="preserve">г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Рабочая температура:</w:t>
            </w:r>
            <w:r>
              <w:t xml:space="preserve"> -5 ... +50 °C;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Температура хранения: </w:t>
            </w:r>
            <w:r>
              <w:t xml:space="preserve">-20…+50 °C;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Температура хранения аккумулятора: </w:t>
            </w:r>
            <w:r>
              <w:t xml:space="preserve">0…35 °C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Класс защиты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пылевлагозащиты</w:t>
            </w:r>
            <w:r>
              <w:rPr>
                <w:b/>
              </w:rPr>
              <w:t xml:space="preserve">:</w:t>
            </w:r>
            <w:r>
              <w:t xml:space="preserve"> </w:t>
            </w:r>
            <w:r>
              <w:rPr>
                <w:lang w:val="en-US"/>
              </w:rPr>
              <w:t xml:space="preserve">IP</w:t>
            </w:r>
            <w:r>
              <w:t xml:space="preserve"> 40;</w:t>
            </w:r>
            <w:r/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8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40"/>
            </w:pPr>
            <w:r>
              <w:t xml:space="preserve">Электрические характеристики</w:t>
            </w:r>
            <w:r/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7" w:type="pct"/>
            <w:vAlign w:val="center"/>
            <w:textDirection w:val="lrTb"/>
            <w:noWrap w:val="false"/>
          </w:tcPr>
          <w:p>
            <w:pPr>
              <w:pStyle w:val="840"/>
              <w:jc w:val="both"/>
            </w:pPr>
            <w:r>
              <w:rPr>
                <w:b/>
              </w:rPr>
              <w:t xml:space="preserve">Аккумулятор:</w:t>
            </w:r>
            <w:r>
              <w:t xml:space="preserve"> </w:t>
            </w:r>
            <w:r>
              <w:t xml:space="preserve">с</w:t>
            </w:r>
            <w:r>
              <w:t xml:space="preserve">ъемный литий-ионный аккумулятор емкостью </w:t>
            </w:r>
            <w:r>
              <w:t xml:space="preserve">2,4 </w:t>
            </w:r>
            <w:r>
              <w:t xml:space="preserve">Ач</w:t>
            </w:r>
            <w:r>
              <w:t xml:space="preserve"> (один аккумулятор), напряжение </w:t>
            </w:r>
            <w:r>
              <w:t xml:space="preserve">3,7</w:t>
            </w:r>
            <w:r>
              <w:t xml:space="preserve"> В. 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Блок питания: </w:t>
            </w:r>
            <w:r>
              <w:t xml:space="preserve">6,3 В/ 2 А.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Время непрерывной работы от аккумулятора</w:t>
            </w:r>
            <w:r>
              <w:rPr>
                <w:b/>
              </w:rPr>
              <w:t xml:space="preserve">:</w:t>
            </w:r>
            <w:r>
              <w:t xml:space="preserve"> &gt;</w:t>
            </w:r>
            <w:r>
              <w:t xml:space="preserve"> 6 ч (насос включен, подсветка отключена, </w:t>
            </w:r>
            <w:r>
              <w:t xml:space="preserve">окруж</w:t>
            </w:r>
            <w:r>
              <w:t xml:space="preserve">. температура     20 </w:t>
            </w:r>
            <w:r>
              <w:t xml:space="preserve">°C</w:t>
            </w:r>
            <w:r>
              <w:t xml:space="preserve">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Время зарядки:</w:t>
            </w:r>
            <w:r>
              <w:t xml:space="preserve"> примерно 5-6 ч.</w:t>
            </w:r>
            <w:r/>
          </w:p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  <w:t xml:space="preserve">Индикация заряда аккумулятора:</w:t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обязательно на дисплее</w:t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90"/>
        </w:trPr>
        <w:tc>
          <w:tcPr>
            <w:shd w:val="clear" w:color="ffffff" w:fill="ffffff"/>
            <w:tcBorders>
              <w:right w:val="single" w:color="000000" w:sz="4" w:space="0"/>
            </w:tcBorders>
            <w:tcW w:w="248" w:type="pct"/>
            <w:vAlign w:val="center"/>
            <w:vMerge w:val="restart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418" w:type="pct"/>
            <w:vAlign w:val="center"/>
            <w:vMerge w:val="restart"/>
            <w:textDirection w:val="lrTb"/>
            <w:noWrap w:val="false"/>
          </w:tcPr>
          <w:p>
            <w:pPr>
              <w:pStyle w:val="840"/>
            </w:pPr>
            <w:r>
              <w:t xml:space="preserve">Комплект документов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537" w:type="pct"/>
            <w:vAlign w:val="center"/>
            <w:vMerge w:val="restart"/>
            <w:textDirection w:val="lrTb"/>
            <w:noWrap w:val="false"/>
          </w:tcPr>
          <w:p>
            <w:pPr>
              <w:pStyle w:val="840"/>
              <w:jc w:val="both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</w:rPr>
              <w:t xml:space="preserve">Свидетельство о поверке (в электронном виде в системе ФГИС «АРШИН»)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840"/>
              <w:jc w:val="both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</w:rPr>
              <w:t xml:space="preserve">Руководство по эксплуатации на бумажном носителе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840"/>
              <w:jc w:val="both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</w:rPr>
              <w:t xml:space="preserve">Методика поверки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84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highlight w:val="none"/>
              </w:rPr>
              <w:t xml:space="preserve">Копии имеющихся сертификатов на электронном носителе</w:t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797" w:type="pct"/>
            <w:vAlign w:val="center"/>
            <w:vMerge w:val="restart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numPr>
          <w:ilvl w:val="0"/>
          <w:numId w:val="1"/>
        </w:numPr>
        <w:ind w:left="0" w:firstLine="0"/>
        <w:jc w:val="both"/>
        <w:keepNext/>
        <w:spacing w:before="240" w:after="0"/>
        <w:shd w:val="clear" w:color="auto" w:fill="ffffff"/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Технические характеристики 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модульного зонда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отбора пробы длинной 335 мм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 и рабочей температурой до + 1000 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°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  <w:t xml:space="preserve">С</w:t>
      </w:r>
      <w:r>
        <w:rPr>
          <w:rFonts w:ascii="Times New Roman" w:hAnsi="Times New Roman" w:eastAsia="Times New Roman"/>
          <w:b/>
          <w:sz w:val="28"/>
          <w:szCs w:val="28"/>
          <w:lang w:val="ru-RU" w:eastAsia="ru-RU"/>
        </w:rPr>
        <w:t xml:space="preserve">.</w:t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val="ru-RU"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2649"/>
        <w:gridCol w:w="4740"/>
        <w:gridCol w:w="1489"/>
      </w:tblGrid>
      <w:tr>
        <w:tblPrEx/>
        <w:trPr>
          <w:trHeight w:val="325"/>
        </w:trPr>
        <w:tc>
          <w:tcPr>
            <w:shd w:val="clear" w:color="auto" w:fill="f2f2f2"/>
            <w:tcBorders>
              <w:right w:val="single" w:color="auto" w:sz="4" w:space="0"/>
            </w:tcBorders>
            <w:tcW w:w="247" w:type="pct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Характеристики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Borders>
              <w:left w:val="single" w:color="auto" w:sz="4" w:space="0"/>
              <w:right w:val="single" w:color="auto" w:sz="4" w:space="0"/>
            </w:tcBorders>
            <w:tcW w:w="2538" w:type="pct"/>
            <w:vAlign w:val="center"/>
            <w:textDirection w:val="lrTb"/>
            <w:noWrap w:val="false"/>
          </w:tcPr>
          <w:p>
            <w:pPr>
              <w:pStyle w:val="839"/>
              <w:ind w:left="22" w:right="26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f2f2f2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8"/>
              <w:jc w:val="center"/>
              <w:spacing w:before="4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Предложение участника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Borders>
              <w:right w:val="single" w:color="auto" w:sz="4" w:space="0"/>
            </w:tcBorders>
            <w:tcW w:w="247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Общие характеристики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8" w:type="pct"/>
            <w:vAlign w:val="center"/>
            <w:textDirection w:val="lrTb"/>
            <w:noWrap w:val="false"/>
          </w:tcPr>
          <w:p>
            <w:pPr>
              <w:pStyle w:val="840"/>
              <w:jc w:val="both"/>
            </w:pPr>
            <w:r>
              <w:rPr>
                <w:b/>
              </w:rPr>
              <w:t xml:space="preserve">В комплектацию входит: </w:t>
            </w:r>
            <w:r>
              <w:t xml:space="preserve">модульный зонд отбора пробы с трубкой длинной 335 мм</w:t>
            </w:r>
            <w:r>
              <w:t xml:space="preserve"> с фиксирующим конусом, термопарой </w:t>
            </w:r>
            <w:r>
              <w:rPr>
                <w:lang w:val="en-US"/>
              </w:rPr>
              <w:t xml:space="preserve">NiCr</w:t>
            </w:r>
            <w:r>
              <w:t xml:space="preserve">-</w:t>
            </w:r>
            <w:r>
              <w:rPr>
                <w:lang w:val="en-US"/>
              </w:rPr>
              <w:t xml:space="preserve">Ni</w:t>
            </w:r>
            <w:r>
              <w:t xml:space="preserve"> (</w:t>
            </w:r>
            <w:r>
              <w:rPr>
                <w:lang w:val="en-US"/>
              </w:rPr>
              <w:t xml:space="preserve">TI</w:t>
            </w:r>
            <w:r>
              <w:t xml:space="preserve">) </w:t>
            </w:r>
            <w:r>
              <w:rPr>
                <w:lang w:val="en-US"/>
              </w:rPr>
              <w:t xml:space="preserve">T</w:t>
            </w:r>
            <w:r>
              <w:t xml:space="preserve">макс + 1000 </w:t>
            </w:r>
            <w:r>
              <w:t xml:space="preserve">°С</w:t>
            </w:r>
            <w:r>
              <w:t xml:space="preserve"> и специальным шлангом для </w:t>
            </w:r>
            <w:r>
              <w:rPr>
                <w:lang w:val="en-US"/>
              </w:rPr>
              <w:t xml:space="preserve">NO</w:t>
            </w:r>
            <w:r>
              <w:rPr>
                <w:vertAlign w:val="subscript"/>
              </w:rPr>
              <w:t xml:space="preserve">2</w:t>
            </w:r>
            <w:r>
              <w:t xml:space="preserve">/</w:t>
            </w:r>
            <w:r>
              <w:rPr>
                <w:lang w:val="en-US"/>
              </w:rPr>
              <w:t xml:space="preserve">SO</w:t>
            </w:r>
            <w:r>
              <w:rPr>
                <w:vertAlign w:val="subscript"/>
              </w:rPr>
              <w:t xml:space="preserve">2</w:t>
            </w:r>
            <w:r>
              <w:t xml:space="preserve"> </w:t>
            </w:r>
            <w:r>
              <w:t xml:space="preserve">длиной 2,2 м.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Материал корпуса:</w:t>
            </w:r>
            <w:r>
              <w:t xml:space="preserve"> </w:t>
            </w:r>
            <w:r>
              <w:t xml:space="preserve">металл.</w:t>
            </w:r>
            <w:r/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4"/>
        </w:trPr>
        <w:tc>
          <w:tcPr>
            <w:shd w:val="clear" w:color="auto" w:fill="auto"/>
            <w:tcBorders>
              <w:right w:val="single" w:color="auto" w:sz="4" w:space="0"/>
            </w:tcBorders>
            <w:tcW w:w="247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pStyle w:val="840"/>
              <w:rPr>
                <w:rFonts w:eastAsia="Cambria"/>
                <w:color w:val="auto"/>
              </w:rPr>
            </w:pPr>
            <w:r>
              <w:rPr>
                <w:rFonts w:eastAsia="Cambria"/>
                <w:color w:val="auto"/>
              </w:rPr>
              <w:t xml:space="preserve">Подключение</w:t>
            </w:r>
            <w:r>
              <w:rPr>
                <w:rFonts w:eastAsia="Cambria"/>
                <w:color w:val="auto"/>
              </w:rPr>
            </w:r>
            <w:r>
              <w:rPr>
                <w:rFonts w:eastAsia="Cambria"/>
                <w:color w:val="auto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8" w:type="pct"/>
            <w:vAlign w:val="center"/>
            <w:textDirection w:val="lrTb"/>
            <w:noWrap w:val="false"/>
          </w:tcPr>
          <w:p>
            <w:pPr>
              <w:pStyle w:val="841"/>
              <w:jc w:val="both"/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val="en-US" w:eastAsia="en-US"/>
              </w:rPr>
              <w:t xml:space="preserve">Bayonet</w:t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642"/>
        </w:trPr>
        <w:tc>
          <w:tcPr>
            <w:shd w:val="clear" w:color="auto" w:fill="auto"/>
            <w:tcBorders>
              <w:right w:val="single" w:color="auto" w:sz="4" w:space="0"/>
            </w:tcBorders>
            <w:tcW w:w="247" w:type="pct"/>
            <w:vAlign w:val="center"/>
            <w:textDirection w:val="lrTb"/>
            <w:noWrap w:val="false"/>
          </w:tcPr>
          <w:p>
            <w:pPr>
              <w:pStyle w:val="839"/>
              <w:ind w:left="4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418" w:type="pct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eastAsiaTheme="minorHAnsi"/>
                <w:color w:val="000000"/>
                <w:lang w:val="ru-RU"/>
              </w:rPr>
              <w:t xml:space="preserve">Технические х</w:t>
            </w:r>
            <w:r>
              <w:rPr>
                <w:rFonts w:ascii="Times New Roman" w:hAnsi="Times New Roman" w:eastAsiaTheme="minorHAnsi"/>
                <w:color w:val="000000"/>
                <w:lang w:val="ru-RU"/>
              </w:rPr>
              <w:t xml:space="preserve">арактеристики</w:t>
            </w:r>
            <w:r>
              <w:rPr>
                <w:rFonts w:ascii="Times New Roman" w:hAnsi="Times New Roman"/>
                <w:lang w:val="ru-RU"/>
              </w:rPr>
            </w:r>
            <w:r>
              <w:rPr>
                <w:rFonts w:ascii="Times New Roman" w:hAnsi="Times New Roman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38" w:type="pct"/>
            <w:vAlign w:val="center"/>
            <w:textDirection w:val="lrTb"/>
            <w:noWrap w:val="false"/>
          </w:tcPr>
          <w:p>
            <w:pPr>
              <w:pStyle w:val="840"/>
              <w:jc w:val="both"/>
            </w:pPr>
            <w:r>
              <w:rPr>
                <w:b/>
              </w:rPr>
              <w:t xml:space="preserve">Длина трубки зонда</w:t>
            </w:r>
            <w:r>
              <w:t xml:space="preserve">: </w:t>
            </w:r>
            <w:r>
              <w:t xml:space="preserve">335 мм.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Масса</w:t>
            </w:r>
            <w:r>
              <w:t xml:space="preserve">: </w:t>
            </w:r>
            <w:r>
              <w:t xml:space="preserve">606</w:t>
            </w:r>
            <w:r>
              <w:t xml:space="preserve"> г</w:t>
            </w:r>
            <w:r>
              <w:t xml:space="preserve">.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Измеряемая температура: </w:t>
            </w:r>
            <w:r>
              <w:t xml:space="preserve">до + 1000 </w:t>
            </w:r>
            <w:r>
              <w:t xml:space="preserve">°С</w:t>
            </w:r>
            <w:r>
              <w:t xml:space="preserve">;</w:t>
            </w:r>
            <w:r/>
          </w:p>
          <w:p>
            <w:pPr>
              <w:pStyle w:val="840"/>
              <w:jc w:val="both"/>
            </w:pPr>
            <w:r>
              <w:rPr>
                <w:b/>
              </w:rPr>
              <w:t xml:space="preserve">Диаметр трубки зонда:</w:t>
            </w:r>
            <w:r>
              <w:t xml:space="preserve"> 8 мм.</w:t>
            </w:r>
            <w:r/>
          </w:p>
          <w:p>
            <w:pPr>
              <w:pStyle w:val="840"/>
              <w:jc w:val="both"/>
              <w:rPr>
                <w:b/>
              </w:rPr>
            </w:pPr>
            <w:r>
              <w:rPr>
                <w:b/>
              </w:rPr>
              <w:t xml:space="preserve">Длина кабеля: </w:t>
            </w:r>
            <w:r>
              <w:t xml:space="preserve">2,2 м</w:t>
            </w:r>
            <w: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40"/>
              <w:jc w:val="both"/>
            </w:pPr>
            <w:r>
              <w:rPr>
                <w:b/>
              </w:rPr>
              <w:t xml:space="preserve">Класс защиты </w:t>
            </w:r>
            <w:r>
              <w:rPr>
                <w:b/>
              </w:rPr>
              <w:t xml:space="preserve">пылевлагозащиты</w:t>
            </w:r>
            <w:r>
              <w:rPr>
                <w:b/>
              </w:rPr>
              <w:t xml:space="preserve">:</w:t>
            </w:r>
            <w:r>
              <w:t xml:space="preserve"> </w:t>
            </w:r>
            <w:r>
              <w:rPr>
                <w:lang w:val="en-US"/>
              </w:rPr>
              <w:t xml:space="preserve">IP</w:t>
            </w:r>
            <w:r>
              <w:t xml:space="preserve"> 40;</w:t>
            </w:r>
            <w:r/>
          </w:p>
        </w:tc>
        <w:tc>
          <w:tcPr>
            <w:shd w:val="clear" w:color="auto" w:fill="auto"/>
            <w:tcW w:w="797" w:type="pct"/>
            <w:vAlign w:val="center"/>
            <w:textDirection w:val="lrTb"/>
            <w:noWrap w:val="false"/>
          </w:tcPr>
          <w:p>
            <w:pPr>
              <w:pStyle w:val="839"/>
              <w:ind w:left="60" w:right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highlight w:val="none"/>
          <w:lang w:val="ru-RU"/>
        </w:rPr>
      </w:r>
      <w:r>
        <w:rPr>
          <w:rFonts w:ascii="Times New Roman" w:hAnsi="Times New Roman"/>
          <w:b/>
          <w:highlight w:val="none"/>
          <w:lang w:val="ru-RU"/>
        </w:rPr>
      </w:r>
      <w:r>
        <w:rPr>
          <w:rFonts w:ascii="Times New Roman" w:hAnsi="Times New Roman"/>
          <w:b/>
          <w:bCs/>
          <w:lang w:val="ru-RU"/>
        </w:rPr>
      </w:r>
    </w:p>
    <w:p>
      <w:pPr>
        <w:jc w:val="both"/>
        <w:rPr>
          <w:rFonts w:ascii="Times New Roman" w:hAnsi="Times New Roman"/>
          <w:b/>
          <w:bCs/>
          <w:highlight w:val="none"/>
          <w:lang w:val="ru-RU"/>
        </w:rPr>
      </w:pPr>
      <w:r>
        <w:rPr>
          <w:rFonts w:ascii="Times New Roman" w:hAnsi="Times New Roman"/>
          <w:b/>
          <w:lang w:val="ru-RU"/>
        </w:rPr>
        <w:t xml:space="preserve">Ответственный исполнитель</w:t>
      </w:r>
      <w:bookmarkStart w:id="1" w:name="_GoBack"/>
      <w:r/>
      <w:bookmarkEnd w:id="1"/>
      <w:r>
        <w:rPr>
          <w:rFonts w:ascii="Times New Roman" w:hAnsi="Times New Roman"/>
          <w:b/>
          <w:lang w:val="ru-RU"/>
        </w:rPr>
        <w:t xml:space="preserve">:</w:t>
      </w:r>
      <w:r>
        <w:rPr>
          <w:rFonts w:ascii="Times New Roman" w:hAnsi="Times New Roman"/>
          <w:b/>
          <w:bCs/>
          <w:highlight w:val="none"/>
          <w:lang w:val="ru-RU"/>
        </w:rPr>
      </w:r>
      <w:r>
        <w:rPr>
          <w:rFonts w:ascii="Times New Roman" w:hAnsi="Times New Roman"/>
          <w:b/>
          <w:bCs/>
          <w:highlight w:val="none"/>
          <w:lang w:val="ru-RU"/>
        </w:rPr>
      </w:r>
    </w:p>
    <w:p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5"/>
    <w:next w:val="835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6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5"/>
    <w:next w:val="835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6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5"/>
    <w:next w:val="835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6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6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6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6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6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6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6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6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6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6"/>
    <w:link w:val="685"/>
    <w:uiPriority w:val="99"/>
  </w:style>
  <w:style w:type="paragraph" w:styleId="687">
    <w:name w:val="Footer"/>
    <w:basedOn w:val="835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6"/>
    <w:link w:val="687"/>
    <w:uiPriority w:val="99"/>
  </w:style>
  <w:style w:type="paragraph" w:styleId="689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spacing w:after="200" w:line="240" w:lineRule="auto"/>
    </w:pPr>
    <w:rPr>
      <w:rFonts w:ascii="Cambria" w:hAnsi="Cambria" w:eastAsia="Cambria" w:cs="Times New Roman"/>
      <w:sz w:val="24"/>
      <w:szCs w:val="24"/>
      <w:lang w:val="en-US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 w:customStyle="1">
    <w:name w:val="Table Paragraph"/>
    <w:basedOn w:val="835"/>
    <w:uiPriority w:val="1"/>
    <w:qFormat/>
    <w:pPr>
      <w:spacing w:after="0"/>
      <w:widowControl w:val="off"/>
    </w:pPr>
    <w:rPr>
      <w:rFonts w:ascii="Calibri" w:hAnsi="Calibri" w:eastAsia="Calibri" w:cs="Calibri"/>
      <w:sz w:val="22"/>
      <w:szCs w:val="22"/>
      <w:lang w:val="ru-RU"/>
    </w:rPr>
  </w:style>
  <w:style w:type="paragraph" w:styleId="84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841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2">
    <w:name w:val="List Paragraph"/>
    <w:basedOn w:val="835"/>
    <w:link w:val="843"/>
    <w:uiPriority w:val="34"/>
    <w:qFormat/>
    <w:pPr>
      <w:contextualSpacing/>
      <w:ind w:left="720"/>
      <w:spacing w:after="0"/>
    </w:pPr>
    <w:rPr>
      <w:rFonts w:ascii="Times New Roman" w:hAnsi="Times New Roman" w:eastAsia="Times New Roman"/>
      <w:lang w:val="ru-RU" w:eastAsia="ru-RU"/>
    </w:rPr>
  </w:style>
  <w:style w:type="character" w:styleId="843" w:customStyle="1">
    <w:name w:val="Абзац списка Знак"/>
    <w:link w:val="842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4">
    <w:name w:val="Normal (Web)"/>
    <w:basedOn w:val="835"/>
    <w:uiPriority w:val="99"/>
    <w:unhideWhenUsed/>
    <w:pPr>
      <w:spacing w:before="100" w:beforeAutospacing="1" w:after="100" w:afterAutospacing="1"/>
    </w:pPr>
    <w:rPr>
      <w:rFonts w:ascii="Times New Roman" w:hAnsi="Times New Roman" w:eastAsia="Times New Roman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Зимирев Максим Владимирович</dc:creator>
  <cp:keywords/>
  <dc:description/>
  <cp:revision>9</cp:revision>
  <dcterms:created xsi:type="dcterms:W3CDTF">2025-03-11T04:51:00Z</dcterms:created>
  <dcterms:modified xsi:type="dcterms:W3CDTF">2025-04-28T07:40:57Z</dcterms:modified>
</cp:coreProperties>
</file>